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7BE" w:rsidRDefault="00CC15D8" w:rsidP="003B25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VGS</w:t>
      </w:r>
      <w:r w:rsidR="00467BC0" w:rsidRPr="00467BC0">
        <w:rPr>
          <w:rFonts w:ascii="Arial" w:hAnsi="Arial" w:cs="Arial"/>
          <w:b/>
          <w:sz w:val="20"/>
          <w:szCs w:val="20"/>
        </w:rPr>
        <w:t xml:space="preserve">: </w:t>
      </w:r>
      <w:r w:rsidR="00026B30" w:rsidRPr="00026B30">
        <w:rPr>
          <w:rFonts w:ascii="Arial" w:hAnsi="Arial" w:cs="Arial"/>
          <w:b/>
          <w:sz w:val="20"/>
          <w:szCs w:val="20"/>
        </w:rPr>
        <w:t>Explanation for the differ</w:t>
      </w:r>
      <w:r w:rsidR="00F02E19">
        <w:rPr>
          <w:rFonts w:ascii="Arial" w:hAnsi="Arial" w:cs="Arial"/>
          <w:b/>
          <w:sz w:val="20"/>
          <w:szCs w:val="20"/>
        </w:rPr>
        <w:t>ence</w:t>
      </w:r>
      <w:r w:rsidR="00BC16A6">
        <w:rPr>
          <w:rFonts w:ascii="Arial" w:hAnsi="Arial" w:cs="Arial"/>
          <w:b/>
          <w:sz w:val="20"/>
          <w:szCs w:val="20"/>
        </w:rPr>
        <w:t xml:space="preserve"> of over 10%</w:t>
      </w:r>
      <w:r w:rsidR="00F02E19">
        <w:rPr>
          <w:rFonts w:ascii="Arial" w:hAnsi="Arial" w:cs="Arial"/>
          <w:b/>
          <w:sz w:val="20"/>
          <w:szCs w:val="20"/>
        </w:rPr>
        <w:t xml:space="preserve"> in financial statement of</w:t>
      </w:r>
      <w:r w:rsidR="00026B30">
        <w:rPr>
          <w:rFonts w:ascii="Arial" w:hAnsi="Arial" w:cs="Arial"/>
          <w:b/>
          <w:sz w:val="20"/>
          <w:szCs w:val="20"/>
        </w:rPr>
        <w:t xml:space="preserve"> </w:t>
      </w:r>
      <w:r w:rsidR="00026B30" w:rsidRPr="00026B30">
        <w:rPr>
          <w:rFonts w:ascii="Arial" w:hAnsi="Arial" w:cs="Arial"/>
          <w:b/>
          <w:sz w:val="20"/>
          <w:szCs w:val="20"/>
        </w:rPr>
        <w:t>2019 year on year</w:t>
      </w:r>
    </w:p>
    <w:p w:rsidR="00BC16A6" w:rsidRDefault="00E36A48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BC16A6">
        <w:rPr>
          <w:rFonts w:ascii="Arial" w:hAnsi="Arial" w:cs="Arial"/>
          <w:sz w:val="20"/>
          <w:szCs w:val="20"/>
        </w:rPr>
        <w:t>27</w:t>
      </w:r>
      <w:r w:rsidR="00A62855">
        <w:rPr>
          <w:rFonts w:ascii="Arial" w:hAnsi="Arial" w:cs="Arial"/>
          <w:sz w:val="20"/>
          <w:szCs w:val="20"/>
        </w:rPr>
        <w:t xml:space="preserve"> Mar 2020</w:t>
      </w:r>
      <w:r w:rsidR="00467BC0">
        <w:rPr>
          <w:rFonts w:ascii="Arial" w:hAnsi="Arial" w:cs="Arial"/>
          <w:sz w:val="20"/>
          <w:szCs w:val="20"/>
        </w:rPr>
        <w:t xml:space="preserve">, </w:t>
      </w:r>
      <w:r w:rsidR="00CC15D8" w:rsidRPr="00CC15D8">
        <w:rPr>
          <w:rFonts w:ascii="Arial" w:hAnsi="Arial" w:cs="Arial"/>
          <w:sz w:val="20"/>
          <w:szCs w:val="20"/>
        </w:rPr>
        <w:t xml:space="preserve">Vietnam Germany Steel Pipe </w:t>
      </w:r>
      <w:r w:rsidR="00CC15D8">
        <w:rPr>
          <w:rFonts w:ascii="Arial" w:hAnsi="Arial" w:cs="Arial"/>
          <w:sz w:val="20"/>
          <w:szCs w:val="20"/>
        </w:rPr>
        <w:t xml:space="preserve">Joint Stock Company </w:t>
      </w:r>
      <w:r w:rsidR="00026B30">
        <w:rPr>
          <w:rFonts w:ascii="Arial" w:hAnsi="Arial" w:cs="Arial"/>
          <w:sz w:val="20"/>
          <w:szCs w:val="20"/>
        </w:rPr>
        <w:t>explained</w:t>
      </w:r>
      <w:r w:rsidR="00467BC0">
        <w:rPr>
          <w:rFonts w:ascii="Arial" w:hAnsi="Arial" w:cs="Arial"/>
          <w:sz w:val="20"/>
          <w:szCs w:val="20"/>
        </w:rPr>
        <w:t xml:space="preserve"> the</w:t>
      </w:r>
      <w:r w:rsidR="00026B30" w:rsidRPr="00026B30">
        <w:rPr>
          <w:rFonts w:ascii="Arial" w:hAnsi="Arial" w:cs="Arial"/>
          <w:sz w:val="20"/>
          <w:szCs w:val="20"/>
        </w:rPr>
        <w:t xml:space="preserve"> difference</w:t>
      </w:r>
      <w:r w:rsidR="00BC16A6">
        <w:rPr>
          <w:rFonts w:ascii="Arial" w:hAnsi="Arial" w:cs="Arial"/>
          <w:sz w:val="20"/>
          <w:szCs w:val="20"/>
        </w:rPr>
        <w:t xml:space="preserve"> of over 10%</w:t>
      </w:r>
      <w:r w:rsidR="00026B30" w:rsidRPr="00026B30">
        <w:rPr>
          <w:rFonts w:ascii="Arial" w:hAnsi="Arial" w:cs="Arial"/>
          <w:sz w:val="20"/>
          <w:szCs w:val="20"/>
        </w:rPr>
        <w:t xml:space="preserve"> </w:t>
      </w:r>
      <w:r w:rsidR="00F02E19">
        <w:rPr>
          <w:rFonts w:ascii="Arial" w:hAnsi="Arial" w:cs="Arial"/>
          <w:sz w:val="20"/>
          <w:szCs w:val="20"/>
        </w:rPr>
        <w:t>in financial statement of</w:t>
      </w:r>
      <w:r w:rsidR="00026B30" w:rsidRPr="00026B30">
        <w:rPr>
          <w:rFonts w:ascii="Arial" w:hAnsi="Arial" w:cs="Arial"/>
          <w:sz w:val="20"/>
          <w:szCs w:val="20"/>
        </w:rPr>
        <w:t xml:space="preserve"> 2019 year on year</w:t>
      </w:r>
      <w:r w:rsidR="00467BC0">
        <w:rPr>
          <w:rFonts w:ascii="Arial" w:hAnsi="Arial" w:cs="Arial"/>
          <w:sz w:val="20"/>
          <w:szCs w:val="20"/>
        </w:rPr>
        <w:t xml:space="preserve"> as follows:</w:t>
      </w:r>
    </w:p>
    <w:p w:rsidR="00CC15D8" w:rsidRDefault="00CC15D8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Profit after tax of 2019: VND </w:t>
      </w:r>
      <w:r w:rsidRPr="00CC15D8">
        <w:rPr>
          <w:rFonts w:ascii="Arial" w:hAnsi="Arial" w:cs="Arial"/>
          <w:sz w:val="20"/>
          <w:szCs w:val="20"/>
        </w:rPr>
        <w:t>75</w:t>
      </w:r>
      <w:r>
        <w:rPr>
          <w:rFonts w:ascii="Arial" w:hAnsi="Arial" w:cs="Arial"/>
          <w:sz w:val="20"/>
          <w:szCs w:val="20"/>
        </w:rPr>
        <w:t>,</w:t>
      </w:r>
      <w:r w:rsidRPr="00CC15D8">
        <w:rPr>
          <w:rFonts w:ascii="Arial" w:hAnsi="Arial" w:cs="Arial"/>
          <w:sz w:val="20"/>
          <w:szCs w:val="20"/>
        </w:rPr>
        <w:t>179</w:t>
      </w:r>
      <w:r>
        <w:rPr>
          <w:rFonts w:ascii="Arial" w:hAnsi="Arial" w:cs="Arial"/>
          <w:sz w:val="20"/>
          <w:szCs w:val="20"/>
        </w:rPr>
        <w:t>,</w:t>
      </w:r>
      <w:r w:rsidRPr="00CC15D8">
        <w:rPr>
          <w:rFonts w:ascii="Arial" w:hAnsi="Arial" w:cs="Arial"/>
          <w:sz w:val="20"/>
          <w:szCs w:val="20"/>
        </w:rPr>
        <w:t>940</w:t>
      </w:r>
      <w:r>
        <w:rPr>
          <w:rFonts w:ascii="Arial" w:hAnsi="Arial" w:cs="Arial"/>
          <w:sz w:val="20"/>
          <w:szCs w:val="20"/>
        </w:rPr>
        <w:t>,135, an increase of 69.62% year on year</w:t>
      </w:r>
    </w:p>
    <w:p w:rsidR="00CC15D8" w:rsidRDefault="00CC15D8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Profit after tax of 2018: VND </w:t>
      </w:r>
      <w:r w:rsidRPr="00CC15D8">
        <w:rPr>
          <w:rFonts w:ascii="Arial" w:hAnsi="Arial" w:cs="Arial"/>
          <w:sz w:val="20"/>
          <w:szCs w:val="20"/>
        </w:rPr>
        <w:t>44</w:t>
      </w:r>
      <w:r>
        <w:rPr>
          <w:rFonts w:ascii="Arial" w:hAnsi="Arial" w:cs="Arial"/>
          <w:sz w:val="20"/>
          <w:szCs w:val="20"/>
        </w:rPr>
        <w:t>,</w:t>
      </w:r>
      <w:r w:rsidRPr="00CC15D8">
        <w:rPr>
          <w:rFonts w:ascii="Arial" w:hAnsi="Arial" w:cs="Arial"/>
          <w:sz w:val="20"/>
          <w:szCs w:val="20"/>
        </w:rPr>
        <w:t>322</w:t>
      </w:r>
      <w:r>
        <w:rPr>
          <w:rFonts w:ascii="Arial" w:hAnsi="Arial" w:cs="Arial"/>
          <w:sz w:val="20"/>
          <w:szCs w:val="20"/>
        </w:rPr>
        <w:t>,</w:t>
      </w:r>
      <w:r w:rsidRPr="00CC15D8">
        <w:rPr>
          <w:rFonts w:ascii="Arial" w:hAnsi="Arial" w:cs="Arial"/>
          <w:sz w:val="20"/>
          <w:szCs w:val="20"/>
        </w:rPr>
        <w:t>643</w:t>
      </w:r>
      <w:r>
        <w:rPr>
          <w:rFonts w:ascii="Arial" w:hAnsi="Arial" w:cs="Arial"/>
          <w:sz w:val="20"/>
          <w:szCs w:val="20"/>
        </w:rPr>
        <w:t>,</w:t>
      </w:r>
      <w:r w:rsidRPr="00CC15D8">
        <w:rPr>
          <w:rFonts w:ascii="Arial" w:hAnsi="Arial" w:cs="Arial"/>
          <w:sz w:val="20"/>
          <w:szCs w:val="20"/>
        </w:rPr>
        <w:t>504</w:t>
      </w:r>
    </w:p>
    <w:p w:rsidR="00CC15D8" w:rsidRDefault="00CC15D8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Reasons:</w:t>
      </w:r>
    </w:p>
    <w:p w:rsidR="00CC15D8" w:rsidRDefault="00CC15D8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15D8">
        <w:rPr>
          <w:rFonts w:ascii="Arial" w:hAnsi="Arial" w:cs="Arial"/>
          <w:sz w:val="20"/>
          <w:szCs w:val="20"/>
        </w:rPr>
        <w:t xml:space="preserve">Profit after tax in </w:t>
      </w:r>
      <w:r>
        <w:rPr>
          <w:rFonts w:ascii="Arial" w:hAnsi="Arial" w:cs="Arial"/>
          <w:sz w:val="20"/>
          <w:szCs w:val="20"/>
        </w:rPr>
        <w:t>financial statement of 2019 of the holding company and consolidated financial statement of 2019</w:t>
      </w:r>
      <w:r w:rsidRPr="00CC15D8">
        <w:rPr>
          <w:rFonts w:ascii="Arial" w:hAnsi="Arial" w:cs="Arial"/>
          <w:sz w:val="20"/>
          <w:szCs w:val="20"/>
        </w:rPr>
        <w:t xml:space="preserve"> increased </w:t>
      </w:r>
      <w:r>
        <w:rPr>
          <w:rFonts w:ascii="Arial" w:hAnsi="Arial" w:cs="Arial"/>
          <w:sz w:val="20"/>
          <w:szCs w:val="20"/>
        </w:rPr>
        <w:t>by over 10% compared to 2018</w:t>
      </w:r>
      <w:r w:rsidRPr="00CC15D8">
        <w:rPr>
          <w:rFonts w:ascii="Arial" w:hAnsi="Arial" w:cs="Arial"/>
          <w:sz w:val="20"/>
          <w:szCs w:val="20"/>
        </w:rPr>
        <w:t xml:space="preserve"> mainly because of good sales and good m</w:t>
      </w:r>
      <w:r>
        <w:rPr>
          <w:rFonts w:ascii="Arial" w:hAnsi="Arial" w:cs="Arial"/>
          <w:sz w:val="20"/>
          <w:szCs w:val="20"/>
        </w:rPr>
        <w:t>anagement of production costs, reduction of</w:t>
      </w:r>
      <w:r w:rsidRPr="00CC15D8">
        <w:rPr>
          <w:rFonts w:ascii="Arial" w:hAnsi="Arial" w:cs="Arial"/>
          <w:sz w:val="20"/>
          <w:szCs w:val="20"/>
        </w:rPr>
        <w:t xml:space="preserve"> product </w:t>
      </w:r>
      <w:r>
        <w:rPr>
          <w:rFonts w:ascii="Arial" w:hAnsi="Arial" w:cs="Arial"/>
          <w:sz w:val="20"/>
          <w:szCs w:val="20"/>
        </w:rPr>
        <w:t>price</w:t>
      </w:r>
      <w:bookmarkStart w:id="0" w:name="_GoBack"/>
      <w:bookmarkEnd w:id="0"/>
    </w:p>
    <w:p w:rsidR="00CC15D8" w:rsidRDefault="00CC15D8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C15D8">
        <w:rPr>
          <w:rFonts w:ascii="Arial" w:hAnsi="Arial" w:cs="Arial"/>
          <w:sz w:val="20"/>
          <w:szCs w:val="20"/>
        </w:rPr>
        <w:t xml:space="preserve">Besides, </w:t>
      </w:r>
      <w:r>
        <w:rPr>
          <w:rFonts w:ascii="Arial" w:hAnsi="Arial" w:cs="Arial"/>
          <w:sz w:val="20"/>
          <w:szCs w:val="20"/>
        </w:rPr>
        <w:t xml:space="preserve">profits of the </w:t>
      </w:r>
      <w:r w:rsidRPr="00CC15D8">
        <w:rPr>
          <w:rFonts w:ascii="Arial" w:hAnsi="Arial" w:cs="Arial"/>
          <w:sz w:val="20"/>
          <w:szCs w:val="20"/>
        </w:rPr>
        <w:t>subsidiaries and associated companies increased compared</w:t>
      </w:r>
      <w:r>
        <w:rPr>
          <w:rFonts w:ascii="Arial" w:hAnsi="Arial" w:cs="Arial"/>
          <w:sz w:val="20"/>
          <w:szCs w:val="20"/>
        </w:rPr>
        <w:t xml:space="preserve"> to the same period last year. </w:t>
      </w:r>
      <w:r w:rsidRPr="00CC15D8">
        <w:rPr>
          <w:rFonts w:ascii="Arial" w:hAnsi="Arial" w:cs="Arial"/>
          <w:sz w:val="20"/>
          <w:szCs w:val="20"/>
        </w:rPr>
        <w:t>Therefore, after-tax profit of the Parent C</w:t>
      </w:r>
      <w:r>
        <w:rPr>
          <w:rFonts w:ascii="Arial" w:hAnsi="Arial" w:cs="Arial"/>
          <w:sz w:val="20"/>
          <w:szCs w:val="20"/>
        </w:rPr>
        <w:t xml:space="preserve">ompany and </w:t>
      </w:r>
      <w:r w:rsidRPr="00CC15D8">
        <w:rPr>
          <w:rFonts w:ascii="Arial" w:hAnsi="Arial" w:cs="Arial"/>
          <w:sz w:val="20"/>
          <w:szCs w:val="20"/>
        </w:rPr>
        <w:t>consolidated</w:t>
      </w:r>
      <w:r>
        <w:rPr>
          <w:rFonts w:ascii="Arial" w:hAnsi="Arial" w:cs="Arial"/>
          <w:sz w:val="20"/>
          <w:szCs w:val="20"/>
        </w:rPr>
        <w:t xml:space="preserve"> </w:t>
      </w:r>
      <w:r w:rsidRPr="00CC15D8">
        <w:rPr>
          <w:rFonts w:ascii="Arial" w:hAnsi="Arial" w:cs="Arial"/>
          <w:sz w:val="20"/>
          <w:szCs w:val="20"/>
        </w:rPr>
        <w:t xml:space="preserve">after-tax profit </w:t>
      </w:r>
      <w:r>
        <w:rPr>
          <w:rFonts w:ascii="Arial" w:hAnsi="Arial" w:cs="Arial"/>
          <w:sz w:val="20"/>
          <w:szCs w:val="20"/>
        </w:rPr>
        <w:t>in 2019 increased by 93.</w:t>
      </w:r>
      <w:r w:rsidRPr="00CC15D8">
        <w:rPr>
          <w:rFonts w:ascii="Arial" w:hAnsi="Arial" w:cs="Arial"/>
          <w:sz w:val="20"/>
          <w:szCs w:val="20"/>
        </w:rPr>
        <w:t xml:space="preserve">64% and </w:t>
      </w:r>
      <w:r>
        <w:rPr>
          <w:rFonts w:ascii="Arial" w:hAnsi="Arial" w:cs="Arial"/>
          <w:sz w:val="20"/>
          <w:szCs w:val="20"/>
        </w:rPr>
        <w:t>69.</w:t>
      </w:r>
      <w:r w:rsidRPr="00CC15D8">
        <w:rPr>
          <w:rFonts w:ascii="Arial" w:hAnsi="Arial" w:cs="Arial"/>
          <w:sz w:val="20"/>
          <w:szCs w:val="20"/>
        </w:rPr>
        <w:t xml:space="preserve">62% </w:t>
      </w:r>
      <w:r>
        <w:rPr>
          <w:rFonts w:ascii="Arial" w:hAnsi="Arial" w:cs="Arial"/>
          <w:sz w:val="20"/>
          <w:szCs w:val="20"/>
        </w:rPr>
        <w:t>respectively compared to 2018</w:t>
      </w:r>
      <w:r w:rsidR="005B5899">
        <w:rPr>
          <w:rFonts w:ascii="Arial" w:hAnsi="Arial" w:cs="Arial"/>
          <w:sz w:val="20"/>
          <w:szCs w:val="20"/>
        </w:rPr>
        <w:t>.</w:t>
      </w:r>
    </w:p>
    <w:p w:rsidR="00CC15D8" w:rsidRDefault="00CC15D8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C15D8" w:rsidRDefault="00CC15D8" w:rsidP="00CC15D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CC1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B30"/>
    <w:rsid w:val="00041B1A"/>
    <w:rsid w:val="000A79D8"/>
    <w:rsid w:val="00125C9D"/>
    <w:rsid w:val="001654BA"/>
    <w:rsid w:val="0026711C"/>
    <w:rsid w:val="00293FEB"/>
    <w:rsid w:val="002B59F4"/>
    <w:rsid w:val="00303E63"/>
    <w:rsid w:val="00330005"/>
    <w:rsid w:val="003A771E"/>
    <w:rsid w:val="003B2570"/>
    <w:rsid w:val="00467BC0"/>
    <w:rsid w:val="00496733"/>
    <w:rsid w:val="004C7900"/>
    <w:rsid w:val="005B0276"/>
    <w:rsid w:val="005B5899"/>
    <w:rsid w:val="005E7D00"/>
    <w:rsid w:val="006E13A2"/>
    <w:rsid w:val="00701F46"/>
    <w:rsid w:val="007028B7"/>
    <w:rsid w:val="00745D9A"/>
    <w:rsid w:val="008078B6"/>
    <w:rsid w:val="0088081B"/>
    <w:rsid w:val="008854CF"/>
    <w:rsid w:val="00887C3A"/>
    <w:rsid w:val="00A62855"/>
    <w:rsid w:val="00A81EB3"/>
    <w:rsid w:val="00AA01BA"/>
    <w:rsid w:val="00AF67BE"/>
    <w:rsid w:val="00B40E78"/>
    <w:rsid w:val="00BC16A6"/>
    <w:rsid w:val="00C72FFB"/>
    <w:rsid w:val="00CA6F06"/>
    <w:rsid w:val="00CC15D8"/>
    <w:rsid w:val="00E36A48"/>
    <w:rsid w:val="00ED31AF"/>
    <w:rsid w:val="00F02E19"/>
    <w:rsid w:val="00F163FC"/>
    <w:rsid w:val="00F655B9"/>
    <w:rsid w:val="00F85153"/>
    <w:rsid w:val="00FD731F"/>
    <w:rsid w:val="00FF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E6457B-26CC-4E27-B914-6F6A112B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E3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hung</cp:lastModifiedBy>
  <cp:revision>47</cp:revision>
  <dcterms:created xsi:type="dcterms:W3CDTF">2019-10-16T10:03:00Z</dcterms:created>
  <dcterms:modified xsi:type="dcterms:W3CDTF">2020-04-06T10:32:00Z</dcterms:modified>
</cp:coreProperties>
</file>